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Bdr>
          <w:top w:val="none" w:color="222222" w:sz="0" w:space="0"/>
          <w:left w:val="none" w:color="222222" w:sz="0" w:space="0"/>
          <w:bottom w:val="single" w:color="cccccc" w:sz="0" w:space="26"/>
          <w:right w:val="none" w:color="222222" w:sz="0" w:space="0"/>
        </w:pBdr>
        <w:spacing w:line="0" w:lineRule="atLeast"/>
        <w:jc w:val="center"/>
        <w:rPr>
          <w:color w:val="222222"/>
          <w:sz w:val="33"/>
          <w:szCs w:val="33"/>
        </w:rPr>
      </w:pPr>
      <w:r>
        <w:rPr>
          <w:color w:val="222222"/>
          <w:sz w:val="33"/>
          <w:szCs w:val="33"/>
        </w:rPr>
        <w:t>Карта диагностики развития воспитанников старшей группы «Познавательное развитие»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 анализе показателей возрастного развития детей используйте универсальные маркеры:</w:t>
      </w:r>
    </w:p>
    <w:p>
      <w:pPr>
        <w:numPr>
          <w:ilvl w:val="0"/>
          <w:numId w:val="1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0 – показатель не сформирован;</w:t>
      </w:r>
    </w:p>
    <w:p>
      <w:pPr>
        <w:numPr>
          <w:ilvl w:val="0"/>
          <w:numId w:val="1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1 – показатель сформирован на низком уровне;</w:t>
      </w:r>
    </w:p>
    <w:p>
      <w:pPr>
        <w:numPr>
          <w:ilvl w:val="0"/>
          <w:numId w:val="1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 – показатель сформирован на среднем уровне;</w:t>
      </w:r>
    </w:p>
    <w:p>
      <w:pPr>
        <w:numPr>
          <w:ilvl w:val="0"/>
          <w:numId w:val="1"/>
        </w:numPr>
        <w:spacing w:beforeAutospacing="1" w:afterAutospacing="1" w:line="240" w:lineRule="auto"/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 – показатель сформирован на высоком уровне.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  <w:gridCol w:w="1440"/>
        <w:gridCol w:w="1440"/>
        <w:gridCol w:w="1440"/>
        <w:gridCol w:w="1440"/>
        <w:gridCol w:w="1440"/>
        <w:gridCol w:w="1440"/>
      </w:tblGrid>
      <w:tr>
        <w:trPr>
          <w:trHeight w:val="0"/>
        </w:trPr>
        <w:tc>
          <w:tcPr>
            <w:tcW w:w="0" w:type="auto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before="100" w:beforeAutospacing="1" w:after="100" w:afterAutospacing="1" w:line="240" w:lineRule="auto"/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№</w:t>
            </w:r>
          </w:p>
        </w:tc>
        <w:tc>
          <w:tcPr>
            <w:tcW w:w="0" w:type="auto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before="100" w:beforeAutospacing="1" w:after="100" w:afterAutospacing="1" w:line="240" w:lineRule="auto"/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Показатели возрастного развития </w:t>
            </w:r>
          </w:p>
        </w:tc>
        <w:tc>
          <w:tcPr>
            <w:tcW w:w="0" w:type="auto"/>
            <w:gridSpan w:val="7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before="100" w:beforeAutospacing="1" w:after="100" w:afterAutospacing="1" w:line="240" w:lineRule="auto"/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Фамилия и имя ребенка</w:t>
            </w:r>
          </w:p>
        </w:tc>
      </w:tr>
      <w:tr>
        <w:trPr>
          <w:trHeight w:val="0"/>
        </w:trPr>
        <w:tc>
          <w:tcPr>
            <w:tcW w:w="0" w:type="auto"/>
            <w:vMerge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vMerge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line="240" w:lineRule="auto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_____________</w:t>
            </w:r>
          </w:p>
        </w:tc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line="240" w:lineRule="auto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___________</w:t>
            </w:r>
          </w:p>
        </w:tc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line="240" w:lineRule="auto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______________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line="240" w:lineRule="auto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_____</w:t>
            </w:r>
          </w:p>
        </w:tc>
      </w:tr>
      <w:tr>
        <w:trPr>
          <w:trHeight w:val="0"/>
        </w:trPr>
        <w:tc>
          <w:tcPr>
            <w:tcW w:w="0" w:type="auto"/>
            <w:vMerge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vMerge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before="100" w:beforeAutospacing="1" w:after="100" w:afterAutospacing="1" w:line="240" w:lineRule="auto"/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н.г.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к.г.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н.г.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к.г.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н.г.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к.г.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line="240" w:lineRule="auto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_____</w:t>
            </w:r>
          </w:p>
        </w:tc>
      </w:tr>
      <w:tr>
        <w:trPr>
          <w:trHeight w:val="0"/>
        </w:trPr>
        <w:tc>
          <w:tcPr>
            <w:tcW w:w="0" w:type="auto"/>
            <w:gridSpan w:val="9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b/>
                <w:bCs/>
                <w:color w:val="252525"/>
                <w:spacing w:val="-2"/>
                <w:sz w:val="48"/>
                <w:szCs w:val="48"/>
              </w:rPr>
              <w:t>1. Сенсорные эталоны и познавательные действия</w:t>
            </w:r>
          </w:p>
        </w:tc>
      </w:tr>
      <w:tr>
        <w:trPr>
          <w:trHeight w:val="0"/>
        </w:trPr>
        <w:tc>
          <w:tcPr>
            <w:tcW w:w="0" w:type="auto"/>
            <w:gridSpan w:val="9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b/>
                <w:bCs/>
                <w:color w:val="252525"/>
                <w:spacing w:val="-2"/>
                <w:sz w:val="42"/>
                <w:szCs w:val="42"/>
              </w:rPr>
              <w:t>1.1. Действия с предметами 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1.1.1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Ребенок владеет в совершенстве 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приемами сравнения по трем–пяти признакам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1.1.2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Ребенок владеет в совершенстве навыками упорядочивания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1.1.3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Ребенок владеет в совершенстве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приемами классификации, группировки предметов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gridSpan w:val="9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b/>
                <w:bCs/>
                <w:color w:val="252525"/>
                <w:spacing w:val="-2"/>
                <w:sz w:val="42"/>
                <w:szCs w:val="42"/>
              </w:rPr>
              <w:t>1.2. Исследовательская активность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1.2.1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Ребенок владеет обобщенными способами обследования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1.2.2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Ребенок способен планировать свою деятельность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1.2.3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Ребенок умеет задавать вопросы познавательного характера, проводить анализ, сопоставлять и обобщать информацию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gridSpan w:val="9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b/>
                <w:bCs/>
                <w:color w:val="252525"/>
                <w:spacing w:val="-2"/>
                <w:sz w:val="42"/>
                <w:szCs w:val="42"/>
              </w:rPr>
              <w:t>1.3. Представление о цвете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1.3.1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Ребенок овладел способностью различать все цвета спектра, их оттенки и тона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gridSpan w:val="9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b/>
                <w:bCs/>
                <w:color w:val="252525"/>
                <w:spacing w:val="-2"/>
                <w:sz w:val="42"/>
                <w:szCs w:val="42"/>
              </w:rPr>
              <w:t>1.4. Представление о форме и величине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1.4.1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У ребенка развита способность различать и называть геометрические фигуры и их части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gridSpan w:val="9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b/>
                <w:bCs/>
                <w:color w:val="252525"/>
                <w:spacing w:val="-2"/>
                <w:sz w:val="42"/>
                <w:szCs w:val="42"/>
              </w:rPr>
              <w:t>1.5. Цифровые средства познания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1.5.1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Ребенок проявляет интерес к цифровым средствам познания окружающего мира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1.5.2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У ребенка сформировано представление об использовании человеком цифровых средств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gridSpan w:val="9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b/>
                <w:bCs/>
                <w:color w:val="252525"/>
                <w:spacing w:val="-2"/>
                <w:sz w:val="48"/>
                <w:szCs w:val="48"/>
              </w:rPr>
              <w:t>2. Математическое развитие</w:t>
            </w:r>
          </w:p>
        </w:tc>
      </w:tr>
      <w:tr>
        <w:trPr>
          <w:trHeight w:val="0"/>
        </w:trPr>
        <w:tc>
          <w:tcPr>
            <w:tcW w:w="0" w:type="auto"/>
            <w:gridSpan w:val="9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b/>
                <w:bCs/>
                <w:color w:val="252525"/>
                <w:spacing w:val="-2"/>
                <w:sz w:val="42"/>
                <w:szCs w:val="42"/>
              </w:rPr>
              <w:t>2.1. Количество и счет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2.1.1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Ребенок овладел количественным и порядковым счетом в пределах 10 с участием различных анализаторов, понимает независимость числа от пространственно-качественных признаков предметов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2.1.2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Ребенок овладел понятием «цифра», понятием о целом и части в результате деления предметов на равные части, о составе чисел из единиц в пределах пяти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gridSpan w:val="9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b/>
                <w:bCs/>
                <w:color w:val="252525"/>
                <w:spacing w:val="-2"/>
                <w:sz w:val="42"/>
                <w:szCs w:val="42"/>
              </w:rPr>
              <w:t>2.2. Величина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2.2.1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Ребенок умеет сравнивать и выстраивать предметы по возрастанию и убыванию их размера в пределах 10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2.2.2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Ребенок умеет сравнивать предметы по величине опосредованно с помощью условной мерки, развитие глазомера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gridSpan w:val="9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b/>
                <w:bCs/>
                <w:color w:val="252525"/>
                <w:spacing w:val="-2"/>
                <w:sz w:val="42"/>
                <w:szCs w:val="42"/>
              </w:rPr>
              <w:t>2.3. Геометрические фигуры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2.3.1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Ребенок имеет представление о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четырехугольниках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2.3.2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Ребенок умеет выделять структуру геометрических фигур и устанавливать взаимосвязи между ними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gridSpan w:val="9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b/>
                <w:bCs/>
                <w:color w:val="252525"/>
                <w:spacing w:val="-2"/>
                <w:sz w:val="42"/>
                <w:szCs w:val="42"/>
              </w:rPr>
              <w:t>2.4. Ориентировка в пространстве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2.4.1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Ребенок может ориентироваться в трехмерном пространстве от себя и другого человека, в двухмерном пространстве на листе бумаги, по схеме, плану комнаты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gridSpan w:val="9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b/>
                <w:bCs/>
                <w:color w:val="252525"/>
                <w:spacing w:val="-2"/>
                <w:sz w:val="42"/>
                <w:szCs w:val="42"/>
              </w:rPr>
              <w:t>2.5. Ориентировка во времени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2.5.1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Ребенок имеет представление о единицах измерения времени: сутки, неделя, месяц, год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gridSpan w:val="9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b/>
                <w:bCs/>
                <w:color w:val="252525"/>
                <w:spacing w:val="-2"/>
                <w:sz w:val="48"/>
                <w:szCs w:val="48"/>
              </w:rPr>
              <w:t>3. Окружающий мир</w:t>
            </w:r>
          </w:p>
        </w:tc>
      </w:tr>
      <w:tr>
        <w:trPr>
          <w:trHeight w:val="0"/>
        </w:trPr>
        <w:tc>
          <w:tcPr>
            <w:tcW w:w="0" w:type="auto"/>
            <w:gridSpan w:val="9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b/>
                <w:bCs/>
                <w:color w:val="252525"/>
                <w:spacing w:val="-2"/>
                <w:sz w:val="42"/>
                <w:szCs w:val="42"/>
              </w:rPr>
              <w:t>3.1. Представление о себе, семье, людях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3.1.1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Ребенок имеет представление о способах общения с людьми: членами семьи, сверстниками, взрослыми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3.1.2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У ребенка развиваются представления о способах общения и взаимодействия с другими людьми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3.1.3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У ребенка развивается стремление к реализации известных действий в игровой и трудовой деятельности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gridSpan w:val="9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b/>
                <w:bCs/>
                <w:color w:val="252525"/>
                <w:spacing w:val="-2"/>
                <w:sz w:val="42"/>
                <w:szCs w:val="42"/>
              </w:rPr>
              <w:t>3.2. Предметный мир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3.2.1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Ребенок имеет представление об игрушках, играх, предметах быта, орудиях труда, одежде, книгах, предметах искусства, их назначении, свойствах и материалах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3.2.2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Ребенок имеет представление о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технических и компьютерных средствах, их назначении и использовании человеком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gridSpan w:val="9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b/>
                <w:bCs/>
                <w:color w:val="252525"/>
                <w:spacing w:val="-2"/>
                <w:sz w:val="42"/>
                <w:szCs w:val="42"/>
              </w:rPr>
              <w:t>3.3. Явления общественной жизни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3.3.1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Ребенок имеет представление об общественных праздниках, событиях в городе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3.3.2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Ребенок имеет представление о трудовых действиях людей разных профессий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3.3.3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Ребенок имеет представление о назначении общественных учреждений 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gridSpan w:val="9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b/>
                <w:bCs/>
                <w:color w:val="252525"/>
                <w:spacing w:val="-2"/>
                <w:sz w:val="42"/>
                <w:szCs w:val="42"/>
              </w:rPr>
              <w:t>3.4. Моя Родина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3.4.1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Ребенок имеет представление о месте проживания, его названии, особенностях, достопримечательностях, памятниках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3.4.2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Ребенок имеет представление о столице государства, флаге, гербе, героях Отечества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gridSpan w:val="9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b/>
                <w:bCs/>
                <w:color w:val="252525"/>
                <w:spacing w:val="-2"/>
                <w:sz w:val="48"/>
                <w:szCs w:val="48"/>
              </w:rPr>
              <w:t>4. Природа</w:t>
            </w:r>
          </w:p>
        </w:tc>
      </w:tr>
      <w:tr>
        <w:trPr>
          <w:trHeight w:val="0"/>
        </w:trPr>
        <w:tc>
          <w:tcPr>
            <w:tcW w:w="0" w:type="auto"/>
            <w:gridSpan w:val="9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b/>
                <w:bCs/>
                <w:color w:val="252525"/>
                <w:spacing w:val="-2"/>
                <w:sz w:val="42"/>
                <w:szCs w:val="42"/>
              </w:rPr>
              <w:t>4.1. Животные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4.1.1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Ребенок имеет представление о различных группах животных ближайшего окружения и среде их обитания: водная, наземно-воздушная, почвенная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4.1.2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Ребенок имеет представление об особенностях внешнего вида и образа жизни домашних и декоративных животных, их потребностях 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4.1.3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Ребенок умеет сравнивать и группировать животных по различным признакам: дикие и домашние, рыбы, птицы, млекопитающие, насекомые, земноводные, рептилии, перелетные и зимующие птицы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gridSpan w:val="9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b/>
                <w:bCs/>
                <w:color w:val="252525"/>
                <w:spacing w:val="-2"/>
                <w:sz w:val="42"/>
                <w:szCs w:val="42"/>
              </w:rPr>
              <w:t>4.2. Растения и грибы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4.2.1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Ребенок имеет представление о хвойных и лиственных деревьях, кустарниках, кустарничках, овощных, плодовых, цветковых растениях ближайшего окружения, комнатных растениях и их потребностях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4.2.2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Ребенок имеет представление о съедобных и несъедобных грибах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gridSpan w:val="9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b/>
                <w:bCs/>
                <w:color w:val="252525"/>
                <w:spacing w:val="-2"/>
                <w:sz w:val="42"/>
                <w:szCs w:val="42"/>
              </w:rPr>
              <w:t>4.3. Явления природы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4.3.2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Ребенок имеет представление о признаках смены времен года: изменения температуры воздуха, почвенного покрова, осадков, состояния водоемов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4.3.3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Ребенок имеет представление о сельскохозяйственной и другой деятельности человека в разные сезоны года, особенностях жизни животных и растений в разные сезоны года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4.3.4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Ребенок имеет представление об 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атмосферных явлениях: радуга, гроза, закат, рассвет, туман, роса, ветер, облачность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gridSpan w:val="9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b/>
                <w:bCs/>
                <w:color w:val="252525"/>
                <w:spacing w:val="-2"/>
                <w:sz w:val="42"/>
                <w:szCs w:val="42"/>
              </w:rPr>
              <w:t>4.5. Неживая природа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4.5.1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Ребенок имеет представление о неживой природе как среде обитания, свойствах песка, глины, воды, камней, минералов, воздуха, об их использовании человеком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</w:tbl>
    <w:sectPr>
      <w:pgSz w:w="11907" w:h="16839"/>
      <w:pgMar w:top="1440" w:right="1440" w:bottom="1440" w:left="1440" w:header="720" w:footer="720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="http://schemas.openxmlformats.org/wordprocessingml/2006/main">
  <w:abstractNum xmlns:w="http://schemas.openxmlformats.org/wordprocessingml/2006/main" w:abstractNumId="0"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2D33B1"/>
    <w:rsid w:val="002D3591"/>
    <w:rsid w:val="003514A0"/>
    <w:rsid w:val="004F7E17"/>
    <w:rsid w:val="005A05CE"/>
    <w:rsid w:val="00653AF6"/>
    <w:rsid w:val="00B73A5A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 w:line="240" w:lineRule="auto"/>
        <!--<w:spacing w:before="100" w:beforeAutospacing="1" w:after="100" w:afterAutospacing="1" w:line="240" w:lineRule="auto"/>-->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  <w:pPr>
      <w:spacing w:before="100" w:beforeAutospacing="1" w:after="100" w:afterAutospacing="1" w:line="240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microsoft.com/office/2007/relationships/stylesWithEffects" Target="stylesWithEffects.xml" Id="rId2" /><Relationship Type="http://schemas.openxmlformats.org/officeDocument/2006/relationships/styles" Target="styles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Relationship Type="http://schemas.openxmlformats.org/officeDocument/2006/relationships/numbering" Target="/word/numbering.xml" Id="R580952490aac45ae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Актион-МЦФЭР</dc:description>
  <dcterms:created xsi:type="dcterms:W3CDTF">2011-11-02T04:15:00Z</dcterms:created>
  <dcterms:modified xsi:type="dcterms:W3CDTF">2012-05-05T09:54:00Z</dcterms:modified>
</cp:coreProperties>
</file>